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pacing w:after="360" w:before="360" w:lineRule="auto"/>
        <w:ind w:left="864" w:right="864" w:hanging="864"/>
        <w:jc w:val="center"/>
        <w:rPr>
          <w:i w:val="1"/>
          <w:color w:val="5b9bd5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i w:val="1"/>
          <w:color w:val="5b9bd5"/>
          <w:sz w:val="36"/>
          <w:szCs w:val="36"/>
          <w:rtl w:val="0"/>
        </w:rPr>
        <w:t xml:space="preserve">Community-Based Prevention Quarterly Report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Due Dates:  </w:t>
      </w:r>
      <w:r w:rsidDel="00000000" w:rsidR="00000000" w:rsidRPr="00000000">
        <w:rPr>
          <w:rtl w:val="0"/>
        </w:rPr>
        <w:t xml:space="preserve">Q1 - 1.10.20</w:t>
        <w:tab/>
        <w:t xml:space="preserve">         Q2- 7.10.20</w:t>
        <w:tab/>
        <w:t xml:space="preserve">Q3 – 9.10.20</w:t>
        <w:tab/>
        <w:tab/>
        <w:t xml:space="preserve">Q4 – 11.10.20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Quarter Reporting(select one):    Q1     Q2    Q3     Q4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 Report Submitted:  </w:t>
        <w:tab/>
        <w:tab/>
        <w:tab/>
        <w:tab/>
        <w:tab/>
        <w:t xml:space="preserve"> Submitted by:  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Counties/Reservations Served:  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ab/>
        <w:tab/>
        <w:tab/>
        <w:t xml:space="preserve"> Grant (select one):   PFS     Block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ff0000"/>
          <w:rtl w:val="0"/>
        </w:rPr>
        <w:t xml:space="preserve">Note: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If serving multiple counties complete one Quarterly Report per County/Reservation and/or Grant.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880" w:line="240" w:lineRule="auto"/>
        <w:rPr>
          <w:color w:val="5b9bd5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50800</wp:posOffset>
                </wp:positionV>
                <wp:extent cx="6591300" cy="11287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58600" y="3190650"/>
                          <a:ext cx="6574800" cy="1178700"/>
                        </a:xfrm>
                        <a:prstGeom prst="rect">
                          <a:avLst/>
                        </a:prstGeom>
                        <a:solidFill>
                          <a:schemeClr val="dk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2f2f2"/>
                                <w:sz w:val="32"/>
                                <w:vertAlign w:val="baseline"/>
                              </w:rPr>
                              <w:t xml:space="preserve">Strategic Prevention Framework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24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2f2f2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2f2f2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b" bIns="365750" lIns="182875" spcFirstLastPara="1" rIns="182875" wrap="square" tIns="182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50800</wp:posOffset>
                </wp:positionV>
                <wp:extent cx="6591300" cy="112871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1128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44546a"/>
          <w:u w:val="single"/>
        </w:rPr>
      </w:pPr>
      <w:r w:rsidDel="00000000" w:rsidR="00000000" w:rsidRPr="00000000">
        <w:rPr>
          <w:color w:val="5b9bd5"/>
          <w:sz w:val="40"/>
          <w:szCs w:val="40"/>
          <w:u w:val="single"/>
          <w:rtl w:val="0"/>
        </w:rPr>
        <w:t xml:space="preserve">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Success and Accomplishment: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Barriers: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Needs: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44546a"/>
        </w:rPr>
      </w:pPr>
      <w:r w:rsidDel="00000000" w:rsidR="00000000" w:rsidRPr="00000000">
        <w:rPr>
          <w:color w:val="5b9bd5"/>
          <w:sz w:val="40"/>
          <w:szCs w:val="40"/>
          <w:u w:val="single"/>
          <w:rtl w:val="0"/>
        </w:rPr>
        <w:t xml:space="preserve">Capacity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Success and Accomplishment: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Barriers: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Needs: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color w:val="44546a"/>
        </w:rPr>
      </w:pPr>
      <w:r w:rsidDel="00000000" w:rsidR="00000000" w:rsidRPr="00000000">
        <w:rPr>
          <w:color w:val="5b9bd5"/>
          <w:sz w:val="40"/>
          <w:szCs w:val="40"/>
          <w:u w:val="single"/>
          <w:rtl w:val="0"/>
        </w:rPr>
        <w:t xml:space="preserve">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Success and Accomplishment: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Barriers: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44546a"/>
          <w:rtl w:val="0"/>
        </w:rPr>
        <w:t xml:space="preserve">Needs: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rPr>
          <w:color w:val="5b9bd5"/>
          <w:sz w:val="40"/>
          <w:szCs w:val="40"/>
          <w:u w:val="single"/>
        </w:rPr>
      </w:pPr>
      <w:r w:rsidDel="00000000" w:rsidR="00000000" w:rsidRPr="00000000">
        <w:rPr>
          <w:color w:val="5b9bd5"/>
          <w:sz w:val="40"/>
          <w:szCs w:val="40"/>
          <w:u w:val="single"/>
          <w:rtl w:val="0"/>
        </w:rPr>
        <w:t xml:space="preserve">Implementation</w:t>
      </w:r>
    </w:p>
    <w:p w:rsidR="00000000" w:rsidDel="00000000" w:rsidP="00000000" w:rsidRDefault="00000000" w:rsidRPr="00000000" w14:paraId="00000021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Success and Accomplishment: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Barriers: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Needs: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40" w:lineRule="auto"/>
        <w:rPr>
          <w:color w:val="44546a"/>
        </w:rPr>
      </w:pPr>
      <w:r w:rsidDel="00000000" w:rsidR="00000000" w:rsidRPr="00000000">
        <w:rPr>
          <w:color w:val="5b9bd5"/>
          <w:sz w:val="40"/>
          <w:szCs w:val="40"/>
          <w:u w:val="single"/>
          <w:rtl w:val="0"/>
        </w:rPr>
        <w:t xml:space="preserve">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Success and Accomplishment: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Barriers: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240" w:lineRule="auto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Needs: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rPr>
          <w:color w:val="5b9bd5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240" w:lineRule="auto"/>
        <w:rPr>
          <w:color w:val="5b9bd5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="240" w:lineRule="auto"/>
        <w:rPr>
          <w:color w:val="44546a"/>
        </w:rPr>
      </w:pPr>
      <w:r w:rsidDel="00000000" w:rsidR="00000000" w:rsidRPr="00000000">
        <w:rPr>
          <w:color w:val="5b9bd5"/>
          <w:sz w:val="40"/>
          <w:szCs w:val="40"/>
          <w:u w:val="single"/>
          <w:rtl w:val="0"/>
        </w:rPr>
        <w:t xml:space="preserve">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Success and Accomplishment: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Barriers: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color w:val="44546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44546a"/>
          <w:rtl w:val="0"/>
        </w:rPr>
        <w:t xml:space="preserve">Needs: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="240" w:lineRule="auto"/>
        <w:rPr>
          <w:color w:val="44546a"/>
        </w:rPr>
      </w:pPr>
      <w:r w:rsidDel="00000000" w:rsidR="00000000" w:rsidRPr="00000000">
        <w:rPr>
          <w:color w:val="5b9bd5"/>
          <w:sz w:val="40"/>
          <w:szCs w:val="40"/>
          <w:u w:val="single"/>
          <w:rtl w:val="0"/>
        </w:rPr>
        <w:t xml:space="preserve">Cultural Competency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Success and Accomplishment: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Barriers: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line="240" w:lineRule="auto"/>
        <w:rPr>
          <w:color w:val="44546a"/>
        </w:rPr>
      </w:pPr>
      <w:r w:rsidDel="00000000" w:rsidR="00000000" w:rsidRPr="00000000">
        <w:rPr>
          <w:color w:val="44546a"/>
          <w:rtl w:val="0"/>
        </w:rPr>
        <w:t xml:space="preserve">Needs: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Signed:  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Date:  </w:t>
      </w: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Community-Based Prevention </w:t>
    </w:r>
    <w:r w:rsidDel="00000000" w:rsidR="00000000" w:rsidRPr="00000000">
      <w:rPr>
        <w:rtl w:val="0"/>
      </w:rPr>
      <w:t xml:space="preserve">Quarterly Report Template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